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61AF6064" w14:textId="77777777" w:rsidR="00383BC7" w:rsidRPr="000700A9" w:rsidRDefault="00383BC7" w:rsidP="00775A09">
      <w:pPr>
        <w:ind w:firstLine="708"/>
        <w:jc w:val="center"/>
        <w:rPr>
          <w:rFonts w:ascii="Arial" w:hAnsi="Arial" w:cs="Arial"/>
          <w:b/>
          <w:bCs/>
          <w:sz w:val="40"/>
          <w:szCs w:val="40"/>
        </w:rPr>
      </w:pPr>
      <w:r w:rsidRPr="000700A9">
        <w:rPr>
          <w:rFonts w:ascii="Arial" w:hAnsi="Arial" w:cs="Arial"/>
          <w:b/>
          <w:bCs/>
          <w:sz w:val="40"/>
          <w:szCs w:val="40"/>
        </w:rPr>
        <w:t>ÉTANG DES MARAIS</w:t>
      </w:r>
    </w:p>
    <w:p w14:paraId="2011D44A" w14:textId="77777777" w:rsidR="00383BC7" w:rsidRPr="000700A9" w:rsidRDefault="00383BC7" w:rsidP="00775A09">
      <w:pPr>
        <w:ind w:firstLine="708"/>
        <w:jc w:val="center"/>
        <w:rPr>
          <w:rFonts w:ascii="Arial" w:hAnsi="Arial" w:cs="Arial"/>
          <w:b/>
          <w:bCs/>
          <w:sz w:val="40"/>
          <w:szCs w:val="40"/>
        </w:rPr>
      </w:pPr>
    </w:p>
    <w:p w14:paraId="6709ED4D"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BAIGNADE INTERDITE</w:t>
      </w:r>
    </w:p>
    <w:p w14:paraId="02E19BB0"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 xml:space="preserve">TOUTES EMBARCATIONS ET BATEAUX SONT INTERDITS </w:t>
      </w:r>
    </w:p>
    <w:p w14:paraId="241E53F4"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 xml:space="preserve">UTILISATION DU BATEAU </w:t>
      </w:r>
      <w:proofErr w:type="spellStart"/>
      <w:r w:rsidRPr="000700A9">
        <w:rPr>
          <w:rFonts w:ascii="Arial" w:hAnsi="Arial" w:cs="Arial"/>
          <w:sz w:val="24"/>
          <w:szCs w:val="24"/>
        </w:rPr>
        <w:t>AMORCEUR</w:t>
      </w:r>
      <w:proofErr w:type="spellEnd"/>
      <w:r w:rsidRPr="000700A9">
        <w:rPr>
          <w:rFonts w:ascii="Arial" w:hAnsi="Arial" w:cs="Arial"/>
          <w:sz w:val="24"/>
          <w:szCs w:val="24"/>
        </w:rPr>
        <w:t xml:space="preserve"> ET DU DRONE INTERDITE</w:t>
      </w:r>
    </w:p>
    <w:p w14:paraId="3A878724"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 xml:space="preserve">TAPIS DE RÉCEPTION RECOMMANDÉ </w:t>
      </w:r>
    </w:p>
    <w:p w14:paraId="7C585634"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LES LIGNES SERONT OBLIGATOIREMENT TENDUES PERPENDICULAIREMENT À LA BERGE, À L’EMPLACEMENT DU POSTE DE PÊCHE, ET NE DEVRONT PAS DÉPASSER UN ANGLE DE 30 DEGRÈS NI ÊTRE TENDUES À UNE DISTANCE SUPÉRIEURE À LA MOITIÉ DU PLAN D’EAU AFIN DE SATISFAIRE TOUS LES PÊCHEURS.</w:t>
      </w:r>
    </w:p>
    <w:p w14:paraId="63EFF8D5"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PECHE DE NUIT INTERDITE</w:t>
      </w:r>
    </w:p>
    <w:p w14:paraId="0829EB75"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BOURRICHE TYPE ANGLAISE OBLIGATOIRE (BOURRICHE MÉTALLIQUE INTERDITE).</w:t>
      </w:r>
    </w:p>
    <w:p w14:paraId="4B3AA671"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sz w:val="24"/>
          <w:szCs w:val="24"/>
        </w:rPr>
        <w:t>FERMETURE DU PLAN D’EAU POUR ALEVINAGE SELON AFFICHAGE.</w:t>
      </w:r>
    </w:p>
    <w:p w14:paraId="24102D12"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color w:val="000000" w:themeColor="text1"/>
          <w:sz w:val="24"/>
          <w:szCs w:val="24"/>
        </w:rPr>
        <w:t>FEU AU SOL INTERDIT</w:t>
      </w:r>
    </w:p>
    <w:p w14:paraId="1B9DD439" w14:textId="77777777" w:rsidR="00383BC7" w:rsidRPr="000700A9" w:rsidRDefault="00383BC7" w:rsidP="00383BC7">
      <w:pPr>
        <w:numPr>
          <w:ilvl w:val="0"/>
          <w:numId w:val="3"/>
        </w:numPr>
        <w:contextualSpacing/>
        <w:rPr>
          <w:rFonts w:ascii="Arial" w:hAnsi="Arial" w:cs="Arial"/>
          <w:sz w:val="24"/>
          <w:szCs w:val="24"/>
        </w:rPr>
      </w:pPr>
      <w:r w:rsidRPr="000700A9">
        <w:rPr>
          <w:rFonts w:ascii="Arial" w:hAnsi="Arial" w:cs="Arial"/>
          <w:color w:val="000000" w:themeColor="text1"/>
          <w:sz w:val="24"/>
          <w:szCs w:val="24"/>
        </w:rPr>
        <w:t>UNE LIGNE AUTORISÉE LE JOUR DE L’OUVERTURE DE LA TRUITE</w:t>
      </w: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7F29" w14:textId="77777777" w:rsidR="00EE415D" w:rsidRDefault="00EE415D" w:rsidP="004D1516">
      <w:r>
        <w:separator/>
      </w:r>
    </w:p>
  </w:endnote>
  <w:endnote w:type="continuationSeparator" w:id="0">
    <w:p w14:paraId="74F3160E" w14:textId="77777777" w:rsidR="00EE415D" w:rsidRDefault="00EE415D"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29C6" w14:textId="77777777" w:rsidR="00EE415D" w:rsidRDefault="00EE415D" w:rsidP="004D1516">
      <w:r>
        <w:separator/>
      </w:r>
    </w:p>
  </w:footnote>
  <w:footnote w:type="continuationSeparator" w:id="0">
    <w:p w14:paraId="1A6C8130" w14:textId="77777777" w:rsidR="00EE415D" w:rsidRDefault="00EE415D"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C528A"/>
    <w:rsid w:val="00206E81"/>
    <w:rsid w:val="0025428E"/>
    <w:rsid w:val="0025566D"/>
    <w:rsid w:val="002D282E"/>
    <w:rsid w:val="002F3A31"/>
    <w:rsid w:val="00383BC7"/>
    <w:rsid w:val="004C43C6"/>
    <w:rsid w:val="004D1516"/>
    <w:rsid w:val="0054446C"/>
    <w:rsid w:val="00570DE6"/>
    <w:rsid w:val="006C1E17"/>
    <w:rsid w:val="006C5FB0"/>
    <w:rsid w:val="006C6432"/>
    <w:rsid w:val="006D2A7C"/>
    <w:rsid w:val="006E3F30"/>
    <w:rsid w:val="00727B3C"/>
    <w:rsid w:val="007615A2"/>
    <w:rsid w:val="0079654A"/>
    <w:rsid w:val="008115C5"/>
    <w:rsid w:val="00856DA4"/>
    <w:rsid w:val="008A5BDF"/>
    <w:rsid w:val="008F1B11"/>
    <w:rsid w:val="008F2AC4"/>
    <w:rsid w:val="009314D7"/>
    <w:rsid w:val="009A6D91"/>
    <w:rsid w:val="009E2D5D"/>
    <w:rsid w:val="00A0541E"/>
    <w:rsid w:val="00A13014"/>
    <w:rsid w:val="00A36316"/>
    <w:rsid w:val="00A72F4A"/>
    <w:rsid w:val="00A749C2"/>
    <w:rsid w:val="00AB7EB5"/>
    <w:rsid w:val="00B4737A"/>
    <w:rsid w:val="00B528F0"/>
    <w:rsid w:val="00B66ED9"/>
    <w:rsid w:val="00BF325A"/>
    <w:rsid w:val="00C0714E"/>
    <w:rsid w:val="00C40C92"/>
    <w:rsid w:val="00CA6253"/>
    <w:rsid w:val="00D67E65"/>
    <w:rsid w:val="00DA489E"/>
    <w:rsid w:val="00E80F5B"/>
    <w:rsid w:val="00E819AB"/>
    <w:rsid w:val="00EE415D"/>
    <w:rsid w:val="00F23D8C"/>
    <w:rsid w:val="00F41873"/>
    <w:rsid w:val="00F669C2"/>
    <w:rsid w:val="00FE31D9"/>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766</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4</cp:revision>
  <dcterms:created xsi:type="dcterms:W3CDTF">2024-02-23T11:21:00Z</dcterms:created>
  <dcterms:modified xsi:type="dcterms:W3CDTF">2024-02-23T11:22:00Z</dcterms:modified>
</cp:coreProperties>
</file>